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Västervik kommunfullmäktige</w:t>
      </w:r>
    </w:p>
    <w:p>
      <w:pPr>
        <w:pStyle w:val="Heading1"/>
      </w:pPr>
      <w:r>
        <w:t xml:space="preserve">Fler övervakningskameror för tryggare Västervik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Västervik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Brå:s trygghetsundersökning 2024 visar att 28 procent av invånarna i Västervik centrum känner sig otrygga på kvällstid, en ökning med 9 procentenheter sedan 2022. Anmälda våldsbrott har ökat med 15 procent enligt kommunens brottsförebyggande råd. Kameror har visat sig minska brott och öka upptäcktsrisken i liknande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Västervik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övervakningskameror på Storgatan, Hamnplan och Resecentrum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1,2 miljoner kronor i budget 2027 för inköp och drift av kameror.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polisen ges tillgång till kameramaterial enligt gällande lagstiftning.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av kamerorna efter 18 månader och redovisa resultatet för fullmäktige.</w:t>
      </w:r>
    </w:p>
    <w:p>
      <w:pPr>
        <w:spacing w:before="360"/>
      </w:pPr>
    </w:p>
    <w:p>
      <w:r>
        <w:t xml:space="preserve">Västervik,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Västervik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2026-06-06T01:48:33.552Z</dcterms:created>
  <dcterms:modified xsi:type="dcterms:W3CDTF">2026-06-06T01:48:33.552Z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